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C7" w:rsidRPr="008742C7" w:rsidRDefault="008742C7" w:rsidP="008742C7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 w:rsidRPr="008742C7">
        <w:rPr>
          <w:b/>
          <w:sz w:val="28"/>
          <w:szCs w:val="28"/>
        </w:rPr>
        <w:t xml:space="preserve">Указания по заполнению формы федерального статистического наблюдения </w:t>
      </w:r>
    </w:p>
    <w:p w:rsidR="008742C7" w:rsidRPr="008742C7" w:rsidRDefault="008742C7" w:rsidP="008742C7">
      <w:pPr>
        <w:widowControl w:val="0"/>
        <w:spacing w:after="240"/>
        <w:jc w:val="center"/>
        <w:rPr>
          <w:b/>
          <w:sz w:val="28"/>
          <w:szCs w:val="28"/>
        </w:rPr>
      </w:pPr>
      <w:r w:rsidRPr="008742C7">
        <w:rPr>
          <w:b/>
          <w:sz w:val="28"/>
          <w:szCs w:val="28"/>
        </w:rPr>
        <w:t>№ 1-МО «Сведения об объектах инфраструктуры муниципального образования»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1. Административные данные (далее – данные) по форме федерального статистического наблюдения № 1-МО «Сведения об объектах инфраструктуры муниципального образования» (далее – форма) предоставляют исполнительно-распорядительные органы муниципальных образований, исполнительно-распорядительные органы федеральных территорий, территориальные органы исполнительной власти города федерального значения. 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В случае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если в соответствии с абзацем третьим части 2 статьи 34 Федерального закона от 6 октября 2003 г. № 131-ФЗ «Об общих принципах организации местного самоуправления в Российской Федерации» (далее – Закон от 6 октября 2003 г. № 131-ФЗ) уставами муниципального района и входящего в его состав городского или сельского поселения, являющегося административным центром такого муниципального района, предусмотрено образование исполнительно-распорядительного органа муниципального </w:t>
      </w:r>
      <w:proofErr w:type="gramStart"/>
      <w:r>
        <w:rPr>
          <w:szCs w:val="24"/>
        </w:rPr>
        <w:t>района (местной администрации), на который возлагается исполнение полномочий исполнительно-распорядительного органа указанного городского или сельского поселения (местной администрации), данные по форме в разрезе муниципального образования – городского или сельского поселения – предоставляет исполнительно-распорядительный орган муниципального района (местная администрация).</w:t>
      </w:r>
      <w:proofErr w:type="gramEnd"/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Форма утверждена в соответствии со статьей 17 Закона от 6 октября 2003 г. № 131-ФЗ и пунктом 2 постановления Правительства Российской Федерации от 11 ноября 2006 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Форма предназначена для получения данных в соответствии с частью 3 статьи 6 и статьей 8 Федерального закона от 29 ноября 2007 г. </w:t>
      </w:r>
      <w:r>
        <w:rPr>
          <w:szCs w:val="24"/>
        </w:rPr>
        <w:br w:type="textWrapping" w:clear="all"/>
        <w:t>№ 282-ФЗ «Об официальном статистическом учете и системе государственной статистики в Российской Федерации».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Данные по форме могут быть переданы иным федеральным органам исполнительной власти по их запросу.</w:t>
      </w:r>
    </w:p>
    <w:p w:rsidR="008742C7" w:rsidRDefault="008742C7" w:rsidP="008742C7">
      <w:pPr>
        <w:widowControl w:val="0"/>
        <w:tabs>
          <w:tab w:val="num" w:pos="643"/>
        </w:tabs>
        <w:ind w:firstLine="709"/>
        <w:jc w:val="both"/>
        <w:rPr>
          <w:szCs w:val="24"/>
        </w:rPr>
      </w:pPr>
      <w:r>
        <w:rPr>
          <w:szCs w:val="24"/>
        </w:rPr>
        <w:t xml:space="preserve">2. 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По строке «Почтовый адрес»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</w:t>
      </w:r>
      <w:r>
        <w:rPr>
          <w:szCs w:val="24"/>
        </w:rPr>
        <w:br w:type="textWrapping" w:clear="all"/>
        <w:t xml:space="preserve">с юридическим адресом. </w:t>
      </w:r>
    </w:p>
    <w:p w:rsidR="008742C7" w:rsidRDefault="008742C7" w:rsidP="008742C7">
      <w:pPr>
        <w:widowControl w:val="0"/>
        <w:spacing w:line="260" w:lineRule="exact"/>
        <w:ind w:firstLine="709"/>
        <w:jc w:val="both"/>
        <w:rPr>
          <w:szCs w:val="24"/>
        </w:rPr>
      </w:pPr>
      <w:r>
        <w:rPr>
          <w:szCs w:val="24"/>
        </w:rPr>
        <w:t xml:space="preserve">В кодовой части титульного листа формы на основании Уведомления о присвоении кода ОКПО, размещенного на сайте системы сбора отчетности Росстата в информационно-телекоммуникационной сети «Интернет» по адресу: </w:t>
      </w:r>
      <w:hyperlink r:id="rId7" w:history="1">
        <w:r>
          <w:rPr>
            <w:szCs w:val="24"/>
          </w:rPr>
          <w:t>https://websbor.gks.ru/online/info,</w:t>
        </w:r>
      </w:hyperlink>
      <w:r>
        <w:rPr>
          <w:szCs w:val="24"/>
        </w:rPr>
        <w:t xml:space="preserve"> отчитывающаяся организация проставляет код по Общероссийскому классификатору предприятий и организаций (ОКПО).</w:t>
      </w:r>
    </w:p>
    <w:p w:rsidR="008742C7" w:rsidRDefault="008742C7" w:rsidP="008742C7">
      <w:pPr>
        <w:widowControl w:val="0"/>
        <w:spacing w:line="260" w:lineRule="exact"/>
        <w:ind w:firstLine="709"/>
        <w:jc w:val="both"/>
        <w:rPr>
          <w:szCs w:val="24"/>
        </w:rPr>
      </w:pPr>
      <w:r>
        <w:rPr>
          <w:szCs w:val="24"/>
        </w:rPr>
        <w:t>В графе 3 кодовой части формы титульного листа проставляется код типа муниципального образования: муниципальный район – 13, муниципальный округ – 20, городской округ – 15, городской округ с внутригородским делением – 16, внутригородской район – 17, внутригородская территория (внутригородское муниципальное образование) города федерального значения – 12, городское поселение – 10, сельское поселение – 11.</w:t>
      </w:r>
    </w:p>
    <w:p w:rsidR="008742C7" w:rsidRDefault="008742C7" w:rsidP="008742C7">
      <w:pPr>
        <w:widowControl w:val="0"/>
        <w:spacing w:line="260" w:lineRule="exact"/>
        <w:ind w:firstLine="709"/>
        <w:jc w:val="both"/>
        <w:rPr>
          <w:szCs w:val="24"/>
        </w:rPr>
      </w:pPr>
      <w:r>
        <w:rPr>
          <w:szCs w:val="24"/>
        </w:rPr>
        <w:t xml:space="preserve">В форме приводятся данные по организациям, расположенным на территории муниципального образования, независимо от подчиненности и источников финансирования. </w:t>
      </w:r>
    </w:p>
    <w:p w:rsidR="008742C7" w:rsidRDefault="008742C7" w:rsidP="008742C7">
      <w:pPr>
        <w:widowControl w:val="0"/>
        <w:spacing w:line="260" w:lineRule="exact"/>
        <w:ind w:firstLine="709"/>
        <w:jc w:val="both"/>
        <w:rPr>
          <w:szCs w:val="24"/>
        </w:rPr>
      </w:pPr>
      <w:proofErr w:type="gramStart"/>
      <w:r>
        <w:rPr>
          <w:szCs w:val="24"/>
        </w:rPr>
        <w:t>По муниципальным образованиям, наделенным статусом муниципального района, имеющим в своем составе городские и сельские поселения и не имеющим межселенной территории, предоставляется сводный отчет, обобщающий входящие в его состав городские и сельские поселения.</w:t>
      </w:r>
      <w:proofErr w:type="gramEnd"/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Сводные данные по муниципальному району, имеющему в своем составе межселенную территорию, должны включать данные </w:t>
      </w:r>
      <w:r>
        <w:rPr>
          <w:szCs w:val="24"/>
        </w:rPr>
        <w:br w:type="textWrapping" w:clear="all"/>
        <w:t xml:space="preserve">по городским, сельским поселениям и данные по межселенной территории. 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Во исполнение  распоряжения Правительства Российской Федерации от 6 октября 2021 г. № 2816-р «Об утверждении перечня инициатив социально-экономического развития Российской Федерации до 2030 года» и распоряжения Правительства Российской Федерации от 23 декабря 2022 г. № 4132-р «Об утверждении методических рекомендаций по критериям определения опорных населенных пунктов и прилегающих территорий» </w:t>
      </w:r>
      <w:r w:rsidRPr="00DC3BBA">
        <w:rPr>
          <w:b/>
          <w:szCs w:val="24"/>
        </w:rPr>
        <w:t xml:space="preserve">в форму введена множественная </w:t>
      </w:r>
      <w:r w:rsidRPr="00DC3BBA">
        <w:rPr>
          <w:szCs w:val="24"/>
        </w:rPr>
        <w:t>строка</w:t>
      </w:r>
      <w:r>
        <w:rPr>
          <w:szCs w:val="24"/>
        </w:rPr>
        <w:t xml:space="preserve"> </w:t>
      </w:r>
      <w:r w:rsidRPr="00DC3BBA">
        <w:rPr>
          <w:b/>
          <w:szCs w:val="24"/>
        </w:rPr>
        <w:t>«В том числе по населенным пунктам»</w:t>
      </w:r>
      <w:r>
        <w:rPr>
          <w:szCs w:val="24"/>
        </w:rPr>
        <w:t>.</w:t>
      </w:r>
      <w:proofErr w:type="gramEnd"/>
      <w:r>
        <w:rPr>
          <w:szCs w:val="24"/>
        </w:rPr>
        <w:t xml:space="preserve"> Заполнение данной строки должно осуществляться </w:t>
      </w:r>
      <w:r w:rsidRPr="00DC3BBA">
        <w:rPr>
          <w:b/>
          <w:szCs w:val="24"/>
        </w:rPr>
        <w:t xml:space="preserve">в отчетах </w:t>
      </w:r>
      <w:r w:rsidRPr="00DC3BBA">
        <w:rPr>
          <w:b/>
          <w:szCs w:val="24"/>
          <w:u w:val="single"/>
        </w:rPr>
        <w:t>муниципальных, городских округов</w:t>
      </w:r>
      <w:r>
        <w:rPr>
          <w:szCs w:val="24"/>
        </w:rPr>
        <w:t xml:space="preserve"> и </w:t>
      </w:r>
      <w:r w:rsidRPr="00DC3BBA">
        <w:rPr>
          <w:b/>
          <w:szCs w:val="24"/>
          <w:u w:val="single"/>
        </w:rPr>
        <w:t>муниципальных районов</w:t>
      </w:r>
      <w:r>
        <w:rPr>
          <w:szCs w:val="24"/>
        </w:rPr>
        <w:t xml:space="preserve"> </w:t>
      </w:r>
      <w:r w:rsidRPr="00DC3BBA">
        <w:rPr>
          <w:szCs w:val="24"/>
          <w:u w:val="single"/>
        </w:rPr>
        <w:t>по всем населенным пунктам, входящим в состав отчитывающегося муниципального образования в соответствии с кодами ОКТМО</w:t>
      </w:r>
      <w:r>
        <w:rPr>
          <w:szCs w:val="24"/>
        </w:rPr>
        <w:t>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Данные раздела 1 графы 3, раздела 4 граф 3, 4 показываются с одним десятичным знаком; данные раздела 4 граф 5–8 – с двумя десятичными знаками; остальные – в целых числах. 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В графе 1 по строке 1 проставляется 11-значный код ОКТМО муниципального образования, по графе 2 по строке 2 и далее код ОКТМО  населенного пункта. </w:t>
      </w:r>
    </w:p>
    <w:p w:rsidR="008742C7" w:rsidRDefault="008742C7" w:rsidP="008742C7">
      <w:pPr>
        <w:widowControl w:val="0"/>
        <w:spacing w:after="120"/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 Раздел 1. Территория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3. В графе 3</w:t>
      </w:r>
      <w:r>
        <w:rPr>
          <w:b/>
          <w:szCs w:val="24"/>
        </w:rPr>
        <w:t xml:space="preserve"> </w:t>
      </w:r>
      <w:r>
        <w:rPr>
          <w:szCs w:val="24"/>
        </w:rPr>
        <w:t xml:space="preserve">показывается общая площадь земель муниципального образования (на основании Генерального плана муниципального образования, разрабатываемого в соответствии с Градостроительным кодексом Российской Федерации, утвержденным от 29 декабря 2004 г. </w:t>
      </w:r>
      <w:r>
        <w:rPr>
          <w:szCs w:val="24"/>
        </w:rPr>
        <w:br/>
        <w:t>№ 190-ФЗ, либо на основании Устава муниципального образования).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 В этот показатель включаются земли и водные объекты, расположенные в пределах официально утвержденной черты муниципального образования, а при отсутствии официально утвержденной черты – в фактически числящихся границах на конец отчетного года. Здесь же учитываются и земли, изъятые из непосредственного ведения муниципального образования (военные городки, полигоны, полосы отчуждения железных дорог и так далее).</w:t>
      </w:r>
    </w:p>
    <w:p w:rsidR="008742C7" w:rsidRDefault="008742C7" w:rsidP="008742C7">
      <w:pPr>
        <w:widowControl w:val="0"/>
        <w:spacing w:before="120" w:after="120"/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 Раздел 2. Объекты бытового обслуживания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4. Используемые в настоящей форме определения объектов бытового обслуживания приведены на основе ГОСТ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57137-2016 «Бытовое обслуживание населения. Термины и определения».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В графе 3 показываются данные о числе действующих по состоянию на 31 декабря отчетного года на территории муниципального образования объектов бытового обслуживания населения. 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К объектам бытового обслуживания населения относятся предприятия (организации) бытового обслуживания; специально оборудованные помещения (их части), предназначенные для оказания услуг населению и обеспеченные необходимым оборудованием (например, ателье, мастерские, павильоны, салоны).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В графах 4–15 и 17–25 данные о числе объектов бытового обслуживания и данные о числе приемных пунктов бытового обслуживания распределяются по видам оказываемых бытовых услуг в соответствии с перечнем, размещенным на официальном сайте Росстата </w:t>
      </w:r>
      <w:r>
        <w:rPr>
          <w:szCs w:val="24"/>
        </w:rPr>
        <w:br/>
        <w:t>в информационно-телекоммуникационной сети «Интернет» (</w:t>
      </w:r>
      <w:hyperlink r:id="rId8" w:history="1">
        <w:r>
          <w:rPr>
            <w:rStyle w:val="a5"/>
            <w:color w:val="000000"/>
            <w:szCs w:val="24"/>
          </w:rPr>
          <w:t>https://rosstat.gov.ru</w:t>
        </w:r>
      </w:hyperlink>
      <w:r>
        <w:rPr>
          <w:szCs w:val="24"/>
        </w:rPr>
        <w:t>) в разделе Статистика / Официальная статистика / Платные услуги населению / Методология / Перечень платных услуг населению на основе ОКВЭД</w:t>
      </w:r>
      <w:proofErr w:type="gramStart"/>
      <w:r>
        <w:rPr>
          <w:szCs w:val="24"/>
        </w:rPr>
        <w:t>2</w:t>
      </w:r>
      <w:proofErr w:type="gramEnd"/>
      <w:r>
        <w:rPr>
          <w:szCs w:val="24"/>
        </w:rPr>
        <w:t xml:space="preserve"> и ОКПД2. 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Графа 3</w:t>
      </w:r>
      <w:r>
        <w:rPr>
          <w:b/>
          <w:szCs w:val="24"/>
        </w:rPr>
        <w:t xml:space="preserve"> </w:t>
      </w:r>
      <w:r>
        <w:rPr>
          <w:szCs w:val="24"/>
        </w:rPr>
        <w:t xml:space="preserve">равна сумме граф 4–15. 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Ателье (мастерская, салон), занятое оказанием нескольких видов бытовых услуг, например банных и парикмахерских, показывается один раз по преобладающему виду услуг (по объему оказанных услуг населению в денежном выражении).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proofErr w:type="gramStart"/>
      <w:r>
        <w:rPr>
          <w:szCs w:val="24"/>
        </w:rPr>
        <w:lastRenderedPageBreak/>
        <w:t xml:space="preserve">В многопрофильном предприятии (доме, комбинате) бытового обслуживания каждое ателье (мастерская, салон, павильон) учитывается самостоятельно. </w:t>
      </w:r>
      <w:proofErr w:type="gramEnd"/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В графе 11 учитываются общедоступные сауны, бани и душевые.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В графе 12 учитываются объекты бытового обслуживания, оказывающие услуги парикмахерских, косметические услуги по уходу за кожей лица и тела, услуги маникюра и педикюра.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В графе 13 учитываются объекты бытового обслуживания, оказывающие услуги фотоателье, фотолабораторий (фотоуслуги), </w:t>
      </w:r>
      <w:r>
        <w:rPr>
          <w:szCs w:val="24"/>
        </w:rPr>
        <w:br w:type="textWrapping" w:clear="all"/>
        <w:t>фот</w:t>
      </w:r>
      <w:proofErr w:type="gramStart"/>
      <w:r>
        <w:rPr>
          <w:szCs w:val="24"/>
        </w:rPr>
        <w:t>о-</w:t>
      </w:r>
      <w:proofErr w:type="gramEnd"/>
      <w:r>
        <w:rPr>
          <w:szCs w:val="24"/>
        </w:rPr>
        <w:t xml:space="preserve"> и видеосъемки событий.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В графах 15 и 25 учитываются объекты бытового обслуживания, оказывающие населению услуги по переработке сельскохозяйственной продукции; граверные работы по металлу, стеклу, фарфору, дереву, керамике; окраске тканей и текстильных изделий; распиловке древесины; переплетные, брошюровочные, окантовочные, картонажные работы; услуги по общей уборке жилых домов и квартир; услуги справочно-информационной службы по выдаче справок; услуги проката.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графе 16 учитываются все приемные пункты бытового обслуживания населения, осуществляющие прием и выдачу заказов населению, расположенные на отдельных от ателье (мастерской, салона) площадях и действующие по состоянию на 31 декабря отчетного года. </w:t>
      </w:r>
      <w:proofErr w:type="gramEnd"/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В случае, когда один и тот же приемщик принимает заказы по нескольким видам бытовых услуг, учитывать приемный пункт следует один раз по преобладающему виду услуг (по объему оказанных услуг населению в денежном выражении). 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Графа 16 равна сумме граф 17–25. </w:t>
      </w:r>
    </w:p>
    <w:p w:rsidR="008742C7" w:rsidRDefault="008742C7" w:rsidP="008742C7">
      <w:pPr>
        <w:widowControl w:val="0"/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В число приемных пунктов включаются также передвижные приемные пункты, осуществляющие прием и выдачу заказов в населенных пунктах по утвержденному графику работы. </w:t>
      </w:r>
    </w:p>
    <w:p w:rsidR="008742C7" w:rsidRDefault="008742C7" w:rsidP="008742C7">
      <w:pPr>
        <w:widowControl w:val="0"/>
        <w:ind w:firstLine="709"/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Передвижной приемный пункт бытового обслуживания </w:t>
      </w:r>
      <w:r>
        <w:rPr>
          <w:szCs w:val="24"/>
        </w:rPr>
        <w:t>–</w:t>
      </w:r>
      <w:r>
        <w:rPr>
          <w:spacing w:val="-2"/>
          <w:szCs w:val="24"/>
        </w:rPr>
        <w:t xml:space="preserve"> транспортное средство, оборудованное и используемое только для приема </w:t>
      </w:r>
      <w:r>
        <w:rPr>
          <w:spacing w:val="-2"/>
          <w:szCs w:val="24"/>
        </w:rPr>
        <w:br w:type="textWrapping" w:clear="all"/>
        <w:t xml:space="preserve">и транспортирования в бытовом обслуживании определенных видов изделий или для оказания бытовых услуг. 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pacing w:val="-2"/>
          <w:szCs w:val="24"/>
        </w:rPr>
        <w:t>Если в течение года не было ни одного дня работы передвижного приемного пункта, то этот пункт учету не подлежит. В число передвижных приемных пунктов не включаются автомашины, предназначенные только для доставки на дом населению заказов по стирке белья, химической чистке и крашению вещей, ремонту бытовых машин и приборов, готовых изделий</w:t>
      </w:r>
      <w:r>
        <w:rPr>
          <w:szCs w:val="24"/>
        </w:rPr>
        <w:t>.</w:t>
      </w:r>
    </w:p>
    <w:p w:rsidR="008742C7" w:rsidRDefault="008742C7" w:rsidP="008742C7">
      <w:pPr>
        <w:widowControl w:val="0"/>
        <w:spacing w:before="120" w:after="120"/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 Раздел 3. Спортивные сооружения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5. Данные о числе спортивных сооружений (графы 3–12) заполняются в соответствии с формой федерального статистического наблюдения </w:t>
      </w:r>
      <w:r>
        <w:rPr>
          <w:szCs w:val="24"/>
        </w:rPr>
        <w:br w:type="textWrapping" w:clear="all"/>
        <w:t xml:space="preserve">№ 1-ФК «Сведения о физической культуре и спорте», разрабатываемой </w:t>
      </w:r>
      <w:proofErr w:type="spellStart"/>
      <w:r>
        <w:rPr>
          <w:szCs w:val="24"/>
        </w:rPr>
        <w:t>Минспортом</w:t>
      </w:r>
      <w:proofErr w:type="spellEnd"/>
      <w:r>
        <w:rPr>
          <w:szCs w:val="24"/>
        </w:rPr>
        <w:t xml:space="preserve"> России. 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графе 3 учету подлежат спортивные сооружения с учетом городской и рекреационной инфраструктуры, приспособленной для занятий физической культурой и спортом, всех форм собственности, независимо от их организационно-правовой формы, предназначенные для учебно-тренировочных занятий и физкультурно-оздоровительных, спортивных мероприятий, как действующие, так и находящиеся на реконструкции </w:t>
      </w:r>
      <w:r>
        <w:rPr>
          <w:szCs w:val="24"/>
        </w:rPr>
        <w:br w:type="textWrapping" w:clear="all"/>
        <w:t>и капитальном ремонте, отдельно стоящие или входящие в состав комплексных сооружений, отвечающие правилам соревнований по видам спорта</w:t>
      </w:r>
      <w:proofErr w:type="gramEnd"/>
      <w:r>
        <w:rPr>
          <w:szCs w:val="24"/>
        </w:rPr>
        <w:t xml:space="preserve">, имеющие паспорта или учетные карточки (плоскостные спортивные сооружения), зарегистрированные в установленном порядке. 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Кроме того, необходимо учитывать спортивные залы (площадки) общеобразовательных школ, средних и высших учебных заведений.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Спортивные сооружения учитываются по месту их фактического расположения.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В графе 5 учитываются открытые комплексные сооружения, включающие спортивное ядро с трибунами на 1500 мест и более. </w:t>
      </w:r>
      <w:r>
        <w:rPr>
          <w:szCs w:val="24"/>
        </w:rPr>
        <w:br w:type="textWrapping" w:clear="all"/>
        <w:t xml:space="preserve">В состав спортивного ядра входят: основное игровое футбольное поле, окаймленное беговой дорожкой, и места для занятий легкой атлетикой. </w:t>
      </w:r>
      <w:r>
        <w:rPr>
          <w:szCs w:val="24"/>
        </w:rPr>
        <w:lastRenderedPageBreak/>
        <w:t xml:space="preserve">Тренировочные (запасные) поля стадиона учитываются в графе 7 «плоскостные спортивные сооружения». 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графе 7 учитываются площадки для игры в волейбол, баскетбол, бадминтон, городки, теннис, ручной мяч, хоккейные площадки (коробки), площадки для физкультурно-оздоровительных занятий для населения, комплексные площадки для подвижных игр, поля для игры </w:t>
      </w:r>
      <w:r>
        <w:rPr>
          <w:szCs w:val="24"/>
        </w:rPr>
        <w:br w:type="textWrapping" w:clear="all"/>
        <w:t>в футбол, регби, бейсбол, хоккей на траве, гольф, стрельбы из лука, а также спортивные ядра и тренировочные (запасные) футбольные поля стадионов.</w:t>
      </w:r>
      <w:proofErr w:type="gramEnd"/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В графе 9 учету подлежат крытые сооружения, оборудованные для определенного вида занятий, или универсального назначения.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В графе 11 учитываются открытые и крытые ванны плавательных бассейнов размером не менее 10х6 метров. 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Данные о числе детско-юношеских спортивных школ и численности занимающихся в них (графы 13 и 15) заполняются в соответствии </w:t>
      </w:r>
      <w:r>
        <w:rPr>
          <w:szCs w:val="24"/>
        </w:rPr>
        <w:br w:type="textWrapping" w:clear="all"/>
        <w:t>с формами федерального статистического наблюдения № 5-ФК (</w:t>
      </w:r>
      <w:proofErr w:type="gramStart"/>
      <w:r>
        <w:rPr>
          <w:szCs w:val="24"/>
        </w:rPr>
        <w:t>сводная</w:t>
      </w:r>
      <w:proofErr w:type="gramEnd"/>
      <w:r>
        <w:rPr>
          <w:szCs w:val="24"/>
        </w:rPr>
        <w:t xml:space="preserve">) «Сведения по подготовке спортивного резерва» и № 3-АФК «Сведения об адаптивной физической культуре и спорте», разрабатываемые </w:t>
      </w:r>
      <w:proofErr w:type="spellStart"/>
      <w:r>
        <w:rPr>
          <w:szCs w:val="24"/>
        </w:rPr>
        <w:t>Минспортом</w:t>
      </w:r>
      <w:proofErr w:type="spellEnd"/>
      <w:r>
        <w:rPr>
          <w:szCs w:val="24"/>
        </w:rPr>
        <w:t xml:space="preserve"> России.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графе 13 учитываются организации, реализующие дополнительные общеобразовательные программы в области физической культуры </w:t>
      </w:r>
      <w:r>
        <w:rPr>
          <w:szCs w:val="24"/>
        </w:rPr>
        <w:br w:type="textWrapping" w:clear="all"/>
        <w:t>и спорта и имеющие лицензию на реализацию дополнительных образовательных программ спортивной подготовки (СШ и СШОР, а также СДЮШОР, ДЮСШ, включенные в графу 8 «Другие организации» – юридические лица, являющиеся организациями, осуществляющими спортивную подготовку или обеспечивающими подготовку спортивного резерва независимо от их организационно-правовых форм и форм собственности, и находящиеся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в ведении органов управления в сфере физической культуры и спорта и общеобразовательные организации дополнительного образования детей, общественные и частные организации, за исключением общеобразовательных школ (форма </w:t>
      </w:r>
      <w:r>
        <w:rPr>
          <w:szCs w:val="24"/>
        </w:rPr>
        <w:br/>
        <w:t xml:space="preserve">№ 5-ФК (сводная), раздел I </w:t>
      </w:r>
      <w:hyperlink r:id="rId9" w:history="1">
        <w:r>
          <w:rPr>
            <w:szCs w:val="24"/>
          </w:rPr>
          <w:t xml:space="preserve">строка </w:t>
        </w:r>
      </w:hyperlink>
      <w:r>
        <w:rPr>
          <w:szCs w:val="24"/>
        </w:rPr>
        <w:t xml:space="preserve">8: </w:t>
      </w:r>
      <w:hyperlink r:id="rId10" w:history="1">
        <w:r>
          <w:rPr>
            <w:szCs w:val="24"/>
          </w:rPr>
          <w:t>графа 4</w:t>
        </w:r>
      </w:hyperlink>
      <w:r>
        <w:rPr>
          <w:szCs w:val="24"/>
        </w:rPr>
        <w:t xml:space="preserve"> + графа 5 + ДЮСШ и СДЮШОР из графы 8), а также для инвалидов – ДЮСАШ и СДЮСАШ (форма № 3-АФК, раздел I, </w:t>
      </w:r>
      <w:hyperlink r:id="rId11" w:history="1">
        <w:r>
          <w:rPr>
            <w:szCs w:val="24"/>
          </w:rPr>
          <w:t>строка 5</w:t>
        </w:r>
      </w:hyperlink>
      <w:r>
        <w:rPr>
          <w:szCs w:val="24"/>
        </w:rPr>
        <w:t xml:space="preserve"> + строка </w:t>
      </w:r>
      <w:hyperlink r:id="rId12" w:history="1">
        <w:r>
          <w:rPr>
            <w:szCs w:val="24"/>
          </w:rPr>
          <w:t>6</w:t>
        </w:r>
      </w:hyperlink>
      <w:r>
        <w:rPr>
          <w:szCs w:val="24"/>
        </w:rPr>
        <w:t xml:space="preserve"> по </w:t>
      </w:r>
      <w:hyperlink r:id="rId13" w:history="1">
        <w:r>
          <w:rPr>
            <w:szCs w:val="24"/>
          </w:rPr>
          <w:t>графе 3</w:t>
        </w:r>
      </w:hyperlink>
      <w:r>
        <w:rPr>
          <w:szCs w:val="24"/>
        </w:rPr>
        <w:t xml:space="preserve">). </w:t>
      </w:r>
      <w:proofErr w:type="gramEnd"/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В графе 14 учитываются самостоятельные детско-юношеские спортивные школы и филиалы.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В графе 14 учитываются юридические лица – организации, осуществляющие спортивную подготовку или обеспечивающие подготовку спортивного резерва независимо от их организационно-правовых форм и форм собственности.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графе 15 учитываются занимающиеся в организациях и обособленных структурных подразделениях, реализующих дополнительные общеобразовательные программы в области физической культуры и спорта и имеющих лицензию на реализацию дополнительных образовательных программ спортивной подготовки (СШ и СШОР, а также СДЮШОР, ДЮСШ, включенные в «Другие организации») (форма № 5-ФК (сводная), раздел II, </w:t>
      </w:r>
      <w:hyperlink r:id="rId14" w:history="1">
        <w:r>
          <w:rPr>
            <w:szCs w:val="24"/>
          </w:rPr>
          <w:t>графа 6</w:t>
        </w:r>
      </w:hyperlink>
      <w:r>
        <w:rPr>
          <w:szCs w:val="24"/>
        </w:rPr>
        <w:t>:</w:t>
      </w:r>
      <w:proofErr w:type="gramEnd"/>
      <w:r>
        <w:rPr>
          <w:szCs w:val="24"/>
        </w:rPr>
        <w:t xml:space="preserve"> «Всего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 по дополнительным образовательным программам спортивной подготовки» (строки 282, 283, 284), а также численность занимающихся адаптивной физической культурой и спортом в ДЮСАШ и СДЮСАШ (форма № 3-АФК, раздел I, строка 5 + строка 6 по графе 9). Учет занимающихся (включая инвалидов) ведется по журналам учета работы тренировочных групп.</w:t>
      </w:r>
    </w:p>
    <w:p w:rsidR="008742C7" w:rsidRDefault="008742C7" w:rsidP="008742C7">
      <w:pPr>
        <w:widowControl w:val="0"/>
        <w:spacing w:before="120" w:after="120"/>
        <w:ind w:firstLine="709"/>
        <w:jc w:val="center"/>
        <w:rPr>
          <w:b/>
          <w:szCs w:val="24"/>
        </w:rPr>
      </w:pPr>
    </w:p>
    <w:p w:rsidR="008742C7" w:rsidRDefault="008742C7" w:rsidP="008742C7">
      <w:pPr>
        <w:widowControl w:val="0"/>
        <w:spacing w:before="120" w:after="120"/>
        <w:ind w:firstLine="709"/>
        <w:jc w:val="center"/>
        <w:rPr>
          <w:b/>
          <w:szCs w:val="24"/>
        </w:rPr>
      </w:pPr>
      <w:r>
        <w:rPr>
          <w:b/>
          <w:szCs w:val="24"/>
        </w:rPr>
        <w:t>Раздел 4. Коммунальная сфера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6. </w:t>
      </w:r>
      <w:proofErr w:type="gramStart"/>
      <w:r>
        <w:rPr>
          <w:szCs w:val="24"/>
        </w:rPr>
        <w:t xml:space="preserve">В графе 3 указывается общая протяженность улиц, проспектов, переулков, проездов и тому подобное как замощенных, </w:t>
      </w:r>
      <w:r>
        <w:rPr>
          <w:szCs w:val="24"/>
        </w:rPr>
        <w:br w:type="textWrapping" w:clear="all"/>
        <w:t xml:space="preserve">так и </w:t>
      </w:r>
      <w:proofErr w:type="spellStart"/>
      <w:r>
        <w:rPr>
          <w:szCs w:val="24"/>
        </w:rPr>
        <w:t>незамощенных</w:t>
      </w:r>
      <w:proofErr w:type="spellEnd"/>
      <w:r>
        <w:rPr>
          <w:szCs w:val="24"/>
        </w:rPr>
        <w:t>, включая протяженность автомобильных дорог общего пользования местного значения, частных автомобильных дорог, переданных в аренду органам местного самоуправления, а также протяжение мостов, путепроводов и виадуков, числящихся на конец отчетного года в пределах границ населенных пунктов муниципального образования.</w:t>
      </w:r>
      <w:proofErr w:type="gramEnd"/>
      <w:r>
        <w:rPr>
          <w:szCs w:val="24"/>
        </w:rPr>
        <w:t xml:space="preserve"> В этот показатель не включается протяженность дорог, шоссе, магистралей, расположенных между населенными пунктами вне их границ, а также автомобильных дорог федерального и регионального</w:t>
      </w:r>
      <w:r>
        <w:rPr>
          <w:rFonts w:eastAsia="Calibri"/>
          <w:szCs w:val="24"/>
          <w:lang w:eastAsia="en-US"/>
        </w:rPr>
        <w:t xml:space="preserve"> значения,</w:t>
      </w:r>
      <w:r>
        <w:rPr>
          <w:szCs w:val="24"/>
        </w:rPr>
        <w:t xml:space="preserve"> находящихся в границах населенных пунктов муниципального образования. Если проезжая часть улицы разделена бульваром </w:t>
      </w:r>
      <w:r>
        <w:rPr>
          <w:szCs w:val="24"/>
        </w:rPr>
        <w:br w:type="textWrapping" w:clear="all"/>
      </w:r>
      <w:r>
        <w:rPr>
          <w:szCs w:val="24"/>
        </w:rPr>
        <w:lastRenderedPageBreak/>
        <w:t>или имеет разделительную полосу, то протяжение такой улицы необходимо считать по ее оси независимо от количества полос движения.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proofErr w:type="gramStart"/>
      <w:r>
        <w:rPr>
          <w:szCs w:val="24"/>
        </w:rPr>
        <w:t>В графе 4 указывается числящаяся на конец отчетного года в пределах границ населенных пунктов муниципального образования общая протяженность улиц, набережных, переулков и других проездов, включая протяженность автомобильных дорог общего пользования местного значения, частных автомобильных дорог, переданных в аренду органам местного самоуправления, а также протяженность мостов, имеющих специальные установки уличного электрического освещения, независимо от того, находятся они в работе, ремонте, ожидании</w:t>
      </w:r>
      <w:proofErr w:type="gramEnd"/>
      <w:r>
        <w:rPr>
          <w:szCs w:val="24"/>
        </w:rPr>
        <w:t xml:space="preserve"> ремонта. </w:t>
      </w:r>
      <w:r>
        <w:rPr>
          <w:szCs w:val="24"/>
        </w:rPr>
        <w:br w:type="textWrapping" w:clear="all"/>
        <w:t xml:space="preserve">В этот показатель не включается протяженность дорог, шоссе, магистралей, расположенных между населенными пунктами вне их границ, </w:t>
      </w:r>
      <w:r>
        <w:rPr>
          <w:szCs w:val="24"/>
        </w:rPr>
        <w:br w:type="textWrapping" w:clear="all"/>
        <w:t>а также автомобильных дорог федерального и регионального значения, находящихся в границах населенных пунктов муниципального образования.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Протяженность освещенных улиц и мостов показывается по их оси независимо от того, освещены они с двух или с одной стороны.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Протяженность освещаемых частей улиц, проездов, улиц-набережных не должна быть больше общей протяженности улиц, учтенной </w:t>
      </w:r>
      <w:r>
        <w:rPr>
          <w:szCs w:val="24"/>
        </w:rPr>
        <w:br w:type="textWrapping" w:clear="all"/>
        <w:t>по графе 3</w:t>
      </w:r>
      <w:r>
        <w:rPr>
          <w:b/>
          <w:szCs w:val="24"/>
        </w:rPr>
        <w:t>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При заполнении граф 5, 7, 6, 8 следует обратить внимание, что по указанным строкам должна быть отражена одна и та же величина твердых коммунальных отходов, выраженная в разных единицах измерения (</w:t>
      </w:r>
      <w:proofErr w:type="spellStart"/>
      <w:proofErr w:type="gramStart"/>
      <w:r>
        <w:rPr>
          <w:szCs w:val="24"/>
        </w:rPr>
        <w:t>тыс</w:t>
      </w:r>
      <w:proofErr w:type="spellEnd"/>
      <w:proofErr w:type="gramEnd"/>
      <w:r>
        <w:rPr>
          <w:szCs w:val="24"/>
        </w:rPr>
        <w:t xml:space="preserve"> м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тыс</w:t>
      </w:r>
      <w:proofErr w:type="spellEnd"/>
      <w:r>
        <w:rPr>
          <w:szCs w:val="24"/>
        </w:rPr>
        <w:t xml:space="preserve"> т).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Определение объема и массы твердых коммунальных отходов и их сопоставление осуществляется в соответствии со ст. 24.10 Федерального закона от 24 июня 1998 г. № 89-ФЗ «Об отходах производства и потребления», Правилами коммерческого учета объема </w:t>
      </w:r>
      <w:r>
        <w:rPr>
          <w:szCs w:val="24"/>
        </w:rPr>
        <w:br w:type="textWrapping" w:clear="all"/>
        <w:t>и/или массы твердых коммунальных отходов, утвержденными постановлением Правительства Российской Федерации от 3 июня 2016 г. № 505, Правилами определения нормативов накопления твердых коммунальных отходов, утвержденными постановлением Правительства</w:t>
      </w:r>
      <w:proofErr w:type="gramEnd"/>
      <w:r>
        <w:rPr>
          <w:szCs w:val="24"/>
        </w:rPr>
        <w:t xml:space="preserve"> Российской Федерации от 4 апреля 2016 г. № 269, и Методическими рекомендациями по вопросам, связанным с определением нормативов накопления твердых коммунальных отходов, утвержденными приказом Минстроя России от 28 июля 2016 г. № 524/пр.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В графах 5, 7 отражается объем и масса твердых коммунальных отходов, вывезенных всеми видами мусоровозов, бортовыми автомобилями и самосвалами на объекты, используемые для обработки, захоронения и обезвреживания отходов и в места (на площадки) накопления твердых коммунальных отходов.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proofErr w:type="gramStart"/>
      <w:r>
        <w:rPr>
          <w:szCs w:val="24"/>
        </w:rPr>
        <w:t>В графах 6 , 8 отражается объем и масса твердых коммунальных отходов, вывезенных на объекты, используемые для обработки отходов (мусороперерабатывающие заводы и предприятия по предварительной подготовке отходов (сортировке, разборке, очистке).</w:t>
      </w:r>
      <w:proofErr w:type="gramEnd"/>
      <w:r>
        <w:rPr>
          <w:szCs w:val="24"/>
        </w:rPr>
        <w:t xml:space="preserve"> Вывоз твердых коммунальных отходов на объекты, используемые для обезвреживания и захоронения отходов, в том числе на мусоросжигательные предприятия (заводы), в этом показателе не отражается.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В графе 9 показывается протяженность уличных газовых сетей на конец отчетного года. Протяженность этих сетей устанавливается </w:t>
      </w:r>
      <w:r>
        <w:rPr>
          <w:szCs w:val="24"/>
        </w:rPr>
        <w:br w:type="textWrapping" w:clear="all"/>
        <w:t>на основании инвентарных данных или по данным технического учета.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Уличными газовыми сетями (распределительными сетями) считаются газопроводы, проложенные по улицам, площадям, набережным </w:t>
      </w:r>
      <w:r>
        <w:rPr>
          <w:szCs w:val="24"/>
        </w:rPr>
        <w:br w:type="textWrapping" w:clear="all"/>
        <w:t>и так далее населенного пункта от газораспределительных станций (ГРС).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Протяжение уличной газовой сети учитывается в одиночном исчислении, то есть в одну линию. Если по улице уложены трубы в две </w:t>
      </w:r>
      <w:r>
        <w:rPr>
          <w:szCs w:val="24"/>
        </w:rPr>
        <w:br w:type="textWrapping" w:clear="all"/>
        <w:t>и более линий, то для определения протяженности газовой сети необходимо суммировать протяженности всех линий.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Пример: на одной улице длиной 450 м газовая сеть уложена в одну нитку, на другой улице длиной 300 м газовые сети уложены в две нитки. В этом случае общее одиночное протяжение газовой сети составит: 450 м + 300 м х 2 = 1050 м.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В протяжение уличной газовой сети не включается длина вводов, </w:t>
      </w:r>
      <w:proofErr w:type="spellStart"/>
      <w:r>
        <w:rPr>
          <w:szCs w:val="24"/>
        </w:rPr>
        <w:t>внутридворовых</w:t>
      </w:r>
      <w:proofErr w:type="spellEnd"/>
      <w:r>
        <w:rPr>
          <w:szCs w:val="24"/>
        </w:rPr>
        <w:t xml:space="preserve"> и внутриквартальных сетей.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В графе 10 показывается число </w:t>
      </w:r>
      <w:proofErr w:type="spellStart"/>
      <w:r>
        <w:rPr>
          <w:szCs w:val="24"/>
        </w:rPr>
        <w:t>негазифицированных</w:t>
      </w:r>
      <w:proofErr w:type="spellEnd"/>
      <w:r>
        <w:rPr>
          <w:szCs w:val="24"/>
        </w:rPr>
        <w:t xml:space="preserve"> населенных пунктов на конец отчетного года: городов, поселков городского типа </w:t>
      </w:r>
      <w:r>
        <w:rPr>
          <w:szCs w:val="24"/>
        </w:rPr>
        <w:br w:type="textWrapping" w:clear="all"/>
      </w:r>
      <w:r>
        <w:rPr>
          <w:szCs w:val="24"/>
        </w:rPr>
        <w:lastRenderedPageBreak/>
        <w:t xml:space="preserve">и населенных пунктов сельской местности. Число </w:t>
      </w:r>
      <w:proofErr w:type="spellStart"/>
      <w:r>
        <w:rPr>
          <w:szCs w:val="24"/>
        </w:rPr>
        <w:t>негазифицированных</w:t>
      </w:r>
      <w:proofErr w:type="spellEnd"/>
      <w:r>
        <w:rPr>
          <w:szCs w:val="24"/>
        </w:rPr>
        <w:t xml:space="preserve"> населенных пунктов должно быть равно разности числа населенных пунктов по данным административно-территориального деления и числа газифицированных населенных пунктов. Населенный пункт не считается газифицированным, если в нем проведен газ только на промышленные объекты. Населенные пункты, в которых потребители используют газ, </w:t>
      </w:r>
      <w:r>
        <w:rPr>
          <w:szCs w:val="24"/>
        </w:rPr>
        <w:br w:type="textWrapping" w:clear="all"/>
        <w:t>в том числе на коммунально-бытовые нужды, считаются газифицированными.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В число газифицированных включаются: города, в которых газифицировано не менее 100 квартир; поселки городского типа, где газифицировано не менее 50 квартир и сельские населенные пункты, где газифицировано не менее 10 квартир или индивидуальных строений. Населенный пункт не является газифицированным при использовании в домах сжиженного газа в баллонах.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В графе 11 показывается число источников теплоснабжения (котельных, </w:t>
      </w:r>
      <w:proofErr w:type="spellStart"/>
      <w:r>
        <w:rPr>
          <w:szCs w:val="24"/>
        </w:rPr>
        <w:t>когенерационных</w:t>
      </w:r>
      <w:proofErr w:type="spellEnd"/>
      <w:r>
        <w:rPr>
          <w:szCs w:val="24"/>
        </w:rPr>
        <w:t xml:space="preserve"> установок тепловой и электрической энергии, </w:t>
      </w:r>
      <w:proofErr w:type="spellStart"/>
      <w:r>
        <w:rPr>
          <w:szCs w:val="24"/>
        </w:rPr>
        <w:t>электробойлерных</w:t>
      </w:r>
      <w:proofErr w:type="spellEnd"/>
      <w:r>
        <w:rPr>
          <w:szCs w:val="24"/>
        </w:rPr>
        <w:t xml:space="preserve"> и прочих источников теплоснабжения), числящихся на балансе предприятия (организации) и введенных </w:t>
      </w:r>
      <w:r>
        <w:rPr>
          <w:szCs w:val="24"/>
        </w:rPr>
        <w:br w:type="textWrapping" w:clear="all"/>
        <w:t xml:space="preserve">в эксплуатацию (кроме специальных малых газовых отопительных котлов мощностью до 0,1 </w:t>
      </w:r>
      <w:proofErr w:type="spellStart"/>
      <w:r>
        <w:rPr>
          <w:szCs w:val="24"/>
        </w:rPr>
        <w:t>гигакал</w:t>
      </w:r>
      <w:proofErr w:type="spellEnd"/>
      <w:r>
        <w:rPr>
          <w:szCs w:val="24"/>
        </w:rPr>
        <w:t xml:space="preserve">/ч), отпускающих </w:t>
      </w:r>
      <w:proofErr w:type="spellStart"/>
      <w:r>
        <w:rPr>
          <w:szCs w:val="24"/>
        </w:rPr>
        <w:t>теплоэнергию</w:t>
      </w:r>
      <w:proofErr w:type="spellEnd"/>
      <w:r>
        <w:rPr>
          <w:szCs w:val="24"/>
        </w:rPr>
        <w:t xml:space="preserve"> и горячую воду населению и </w:t>
      </w:r>
      <w:proofErr w:type="spellStart"/>
      <w:r>
        <w:rPr>
          <w:szCs w:val="24"/>
        </w:rPr>
        <w:t>бюджетофинансируемым</w:t>
      </w:r>
      <w:proofErr w:type="spellEnd"/>
      <w:r>
        <w:rPr>
          <w:szCs w:val="24"/>
        </w:rPr>
        <w:t xml:space="preserve"> организациям. 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К </w:t>
      </w:r>
      <w:proofErr w:type="spellStart"/>
      <w:r>
        <w:rPr>
          <w:szCs w:val="24"/>
        </w:rPr>
        <w:t>бюджетофинансируемым</w:t>
      </w:r>
      <w:proofErr w:type="spellEnd"/>
      <w:r>
        <w:rPr>
          <w:szCs w:val="24"/>
        </w:rPr>
        <w:t xml:space="preserve"> организациям относятся: учебные заведения (например, школы, интернаты, техникумы, училища, институты); лечебно-профилактические учреждения (например, больницы, поликлиники, амбулатории, медпункты, санатории, дома отдыха); спортивные сооружения (например, стадионы); учреждения культуры (например, музеи, парки, библиотеки); детские дошкольные учреждения (детские сады, ясли); детские дома, детские оздоровительные учреждения; дома и интернаты для престарелых и инвалидов;</w:t>
      </w:r>
      <w:proofErr w:type="gramEnd"/>
      <w:r>
        <w:rPr>
          <w:szCs w:val="24"/>
        </w:rPr>
        <w:t xml:space="preserve"> коммунальные учреждения (гостиницы, дома и общежития для приезжих, находящиеся на балансе </w:t>
      </w:r>
      <w:proofErr w:type="spellStart"/>
      <w:r>
        <w:rPr>
          <w:szCs w:val="24"/>
        </w:rPr>
        <w:t>бюджетофинансируемых</w:t>
      </w:r>
      <w:proofErr w:type="spellEnd"/>
      <w:r>
        <w:rPr>
          <w:szCs w:val="24"/>
        </w:rPr>
        <w:t xml:space="preserve"> организаций), студенческие общежития, воинские части, а также коммунальные и культурно-бытовые организации (например, бани, прачечные, организации ритуального обслуживания) и другие организации, финансируемые полностью или частично из бюджета любого уровня, которым услуги предоставляются </w:t>
      </w:r>
      <w:r>
        <w:rPr>
          <w:szCs w:val="24"/>
        </w:rPr>
        <w:br/>
        <w:t>на коммунально-бытовые нужды.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В графе 13 показывается суммарная протяженность всех водяных тепловых сетей (с учетом сетей горячего водоснабжения) и паровых сетей в двухтрубном исчислении на конец отчетного года. Информация заполняется в соответствии со статьей 6 Федерального закона от 27 июля 2010 г. № 190-ФЗ «О теплоснабжении». Протяженность тепловых сетей определяется по длине трассы с уложенными в ней двумя трубопроводами.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«Бесхозяйная» сеть, в том числе эксплуатируемая, в форме не отражается.</w:t>
      </w:r>
    </w:p>
    <w:p w:rsidR="008742C7" w:rsidRDefault="008742C7" w:rsidP="008742C7">
      <w:pPr>
        <w:widowControl w:val="0"/>
        <w:ind w:firstLine="709"/>
        <w:jc w:val="both"/>
        <w:rPr>
          <w:strike/>
          <w:szCs w:val="24"/>
        </w:rPr>
      </w:pPr>
      <w:r>
        <w:rPr>
          <w:szCs w:val="24"/>
        </w:rPr>
        <w:t>В</w:t>
      </w:r>
      <w:r>
        <w:rPr>
          <w:b/>
          <w:szCs w:val="24"/>
        </w:rPr>
        <w:t xml:space="preserve"> </w:t>
      </w:r>
      <w:r>
        <w:rPr>
          <w:szCs w:val="24"/>
        </w:rPr>
        <w:t xml:space="preserve">графах 16, 17 отражается одиночное протяжение уличной водопроводной сети (без летних водопроводов), находящейся на балансе организации, отпускающей воду населению и (или) </w:t>
      </w:r>
      <w:proofErr w:type="spellStart"/>
      <w:r>
        <w:rPr>
          <w:szCs w:val="24"/>
        </w:rPr>
        <w:t>бюджетофинансируемым</w:t>
      </w:r>
      <w:proofErr w:type="spellEnd"/>
      <w:r>
        <w:rPr>
          <w:szCs w:val="24"/>
        </w:rPr>
        <w:t xml:space="preserve"> организациям, в том числе неэксплуатируемой (нуждающейся </w:t>
      </w:r>
      <w:r>
        <w:rPr>
          <w:szCs w:val="24"/>
        </w:rPr>
        <w:br w:type="textWrapping" w:clear="all"/>
        <w:t xml:space="preserve">в замене), </w:t>
      </w:r>
      <w:r>
        <w:rPr>
          <w:rFonts w:eastAsia="Calibri"/>
          <w:szCs w:val="24"/>
          <w:lang w:eastAsia="en-US"/>
        </w:rPr>
        <w:t xml:space="preserve">предназначенной для отпуска воды населению и </w:t>
      </w:r>
      <w:proofErr w:type="spellStart"/>
      <w:r>
        <w:rPr>
          <w:rFonts w:eastAsia="Calibri"/>
          <w:szCs w:val="24"/>
          <w:lang w:eastAsia="en-US"/>
        </w:rPr>
        <w:t>бюджетофинансируемым</w:t>
      </w:r>
      <w:proofErr w:type="spellEnd"/>
      <w:r>
        <w:rPr>
          <w:rFonts w:eastAsia="Calibri"/>
          <w:szCs w:val="24"/>
          <w:lang w:eastAsia="en-US"/>
        </w:rPr>
        <w:t xml:space="preserve"> организациям, на конец отчетного года</w:t>
      </w:r>
      <w:r>
        <w:rPr>
          <w:szCs w:val="24"/>
        </w:rPr>
        <w:t>. Информация заполняется в соответствии со статьей 6 Федерального закона от 7 декабря 2011 г. № 416-ФЗ «О водоснабжении и водоотведении».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Уличной водопроводной сетью считается сеть трубопроводов, уложенных вдоль улиц, проездов, переулков, набережных и так далее. 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«Бесхозяйная» сеть, в том числе эксплуатируемая, в форме не отражается. 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В графе 19 показывается число населенных пунктов, не имеющих водопроводов (отдельных водопроводных сетей) на конец отчетного года: городов, поселков городского типа и населенных пунктов сельской местности. 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Количество населенных пунктов, не имеющих водопроводов (отдельных водопроводных сетей), должно быть равно разности числа населенных пунктов по данным административно-территориального деления и числа населенных пунктов, имеющих водопроводы (отдельные водопроводные сети).</w:t>
      </w:r>
    </w:p>
    <w:p w:rsidR="008742C7" w:rsidRDefault="008742C7" w:rsidP="008742C7">
      <w:pPr>
        <w:widowControl w:val="0"/>
        <w:ind w:firstLine="709"/>
        <w:jc w:val="both"/>
        <w:rPr>
          <w:strike/>
          <w:szCs w:val="24"/>
        </w:rPr>
      </w:pPr>
      <w:r>
        <w:rPr>
          <w:szCs w:val="24"/>
        </w:rPr>
        <w:t xml:space="preserve">В графе 20 отражается одиночное протяжение уличной канализационной сети, включая сборные и районные коллекторы (без главных </w:t>
      </w:r>
      <w:r>
        <w:rPr>
          <w:szCs w:val="24"/>
        </w:rPr>
        <w:lastRenderedPageBreak/>
        <w:t>коллекторов и присоединений) на конец года. Информация заполняется в соответствии со статьей 6 Федерального закона от 7 декабря 2011 г.</w:t>
      </w:r>
      <w:r>
        <w:rPr>
          <w:szCs w:val="24"/>
        </w:rPr>
        <w:br w:type="textWrapping" w:clear="all"/>
        <w:t>№ 416-ФЗ «О водоснабжении и водоотведении».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Уличной канализационной сетью считаются трубопроводы, уложенные вдоль улиц, проездов, переулков, набережных и других проездов населенного пункта, включая протяжение сборных коллекторов, но без главных коллекторов.</w:t>
      </w:r>
      <w:r>
        <w:rPr>
          <w:b/>
          <w:szCs w:val="24"/>
        </w:rPr>
        <w:t xml:space="preserve"> </w:t>
      </w:r>
      <w:r>
        <w:rPr>
          <w:szCs w:val="24"/>
        </w:rPr>
        <w:t>Сборными коллекторами, которые должны быть отражены в протяжении уличной сети, являются трубопроводы, подключенные непосредственно через систему труб к главным коллекторам. Присоединения к уличной сети для подключения объектов к канализации (домовые присоединения, дворовая сеть, а также внутриквартальные сети) в общее протяжение уличной канализационной сети не включаются.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«Бесхозяйная сеть», в том числе эксплуатируемая, в форме не отражается.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В графе 23 показывается число населенных пунктов, не имеющих канализаций (отдельных канализационных сетей) на конец отчетного года: городов, поселков городского типа и населенных пунктов сельской местности.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Количество населенных пунктов, не имеющих канализаций (отдельных канализационных сетей), должно быть равно разности числа населенных пунктов по данным административно-территориального деления и числа населенных пунктов, имеющих канализации (отдельные канализационные сети).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По графам 11, 13, 16, 20 также учитываются мощности, арендованные организациями, оказывающими услуги по теплоснабжению, водоснабжению, водоотведению.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По графам 11, 13, 16, 20 отражаются данные показателей, сопоставимые с данными соответствующих показателей по формам № 1-ТЕП, </w:t>
      </w:r>
      <w:r>
        <w:rPr>
          <w:szCs w:val="24"/>
        </w:rPr>
        <w:br w:type="textWrapping" w:clear="all"/>
        <w:t>№ 1-водопровод и № 1-канализация.</w:t>
      </w:r>
    </w:p>
    <w:p w:rsidR="008742C7" w:rsidRDefault="008742C7" w:rsidP="008742C7">
      <w:pPr>
        <w:widowControl w:val="0"/>
        <w:spacing w:after="120"/>
        <w:ind w:firstLine="709"/>
        <w:jc w:val="center"/>
        <w:rPr>
          <w:b/>
          <w:szCs w:val="24"/>
        </w:rPr>
      </w:pPr>
      <w:r>
        <w:rPr>
          <w:b/>
          <w:szCs w:val="24"/>
        </w:rPr>
        <w:t>Раздел 5. Организации здравоохранения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7. По графе 3 заполняются данные сведения о числе лечебно-профилактических организаций – юридических лиц и их обособленных структурных подразделений системы Министерства здравоохранения Российской Федерации, других министерств и ведомств, негосударственных лечебно-профилактических организаций (включая </w:t>
      </w:r>
      <w:proofErr w:type="spellStart"/>
      <w:r>
        <w:rPr>
          <w:szCs w:val="24"/>
        </w:rPr>
        <w:t>микропредприятия</w:t>
      </w:r>
      <w:proofErr w:type="spellEnd"/>
      <w:r>
        <w:rPr>
          <w:szCs w:val="24"/>
        </w:rPr>
        <w:t xml:space="preserve">), расположенных на территории муниципального образования, имеющих лицензию на осуществление медицинской деятельности и оказывающих услуги по медицинской помощи населению. Сведения о числе немедицинских организаций, имеющих в своей структуре медицинские подразделения, а также по индивидуальным предпринимателям </w:t>
      </w:r>
      <w:r>
        <w:rPr>
          <w:szCs w:val="24"/>
        </w:rPr>
        <w:br w:type="textWrapping" w:clear="all"/>
        <w:t>не включаются.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Показываются все лечебно-профилактические организации и их обособленные структурные подразделения: участковые больницы, районные больницы, амбулатории, фельдшерско-акушерские пункты, фельдшерские пункты, здравпункты, филиалы, расположенные </w:t>
      </w:r>
      <w:r>
        <w:rPr>
          <w:szCs w:val="24"/>
        </w:rPr>
        <w:br w:type="textWrapping" w:clear="all"/>
        <w:t>на территории муниципального образования. Если медицинская организация (юридическое лицо) зарегистрирована на территории отчитывающегося муниципального образования, но имеет подразделение, филиал в другом муниципальном образовании, тогда каждая медицинская организация будет учитываться в отчете того муниципального образования, на территории которого она расположена.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Структурные подразделения, отделения, кабинеты медицинской организации, находящиеся в одном и том же здании, не учитываются, поскольку учитывается сама медицинская организация.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Отнесение медицинской организации по виду медицинской деятельности к лечебно-профилактической определяется согласно </w:t>
      </w:r>
      <w:r>
        <w:rPr>
          <w:szCs w:val="24"/>
        </w:rPr>
        <w:br w:type="textWrapping" w:clear="all"/>
        <w:t xml:space="preserve">п. 1 (п. 1.1–1.18) и п. 2 (п. 2.1 в части центров медицинской профилактики и медицины катастроф при наличии лицензии на оказание медицинской помощи в амбулаторных или стационарных условиях) номенклатуры медицинских организаций, утвержденной приказом Минздрава России </w:t>
      </w:r>
      <w:r>
        <w:rPr>
          <w:szCs w:val="24"/>
        </w:rPr>
        <w:br w:type="textWrapping" w:clear="all"/>
        <w:t>от 6 августа 2013 г. № 529н «Об утверждении номенклатуры медицинских организаций».</w:t>
      </w:r>
      <w:proofErr w:type="gramEnd"/>
      <w:r>
        <w:rPr>
          <w:szCs w:val="24"/>
        </w:rPr>
        <w:t xml:space="preserve"> Передвижные подразделения (амбулатории, фельдшерско-акушерские пункты, фельдшерские пункты) не учитываются. </w:t>
      </w:r>
    </w:p>
    <w:p w:rsidR="008742C7" w:rsidRDefault="008742C7" w:rsidP="008742C7">
      <w:pPr>
        <w:widowControl w:val="0"/>
        <w:spacing w:before="120" w:after="120"/>
        <w:ind w:firstLine="709"/>
        <w:jc w:val="center"/>
        <w:rPr>
          <w:b/>
          <w:szCs w:val="24"/>
        </w:rPr>
      </w:pPr>
      <w:r>
        <w:rPr>
          <w:b/>
          <w:szCs w:val="24"/>
        </w:rPr>
        <w:lastRenderedPageBreak/>
        <w:t>Раздел 6. Почтовая и телефонная связь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8. В графе</w:t>
      </w:r>
      <w:r>
        <w:rPr>
          <w:b/>
          <w:szCs w:val="24"/>
        </w:rPr>
        <w:t xml:space="preserve"> </w:t>
      </w:r>
      <w:r>
        <w:rPr>
          <w:szCs w:val="24"/>
        </w:rPr>
        <w:t>3</w:t>
      </w:r>
      <w:r>
        <w:rPr>
          <w:b/>
          <w:szCs w:val="24"/>
        </w:rPr>
        <w:t xml:space="preserve"> </w:t>
      </w:r>
      <w:r>
        <w:rPr>
          <w:szCs w:val="24"/>
        </w:rPr>
        <w:t>показыва</w:t>
      </w:r>
      <w:r>
        <w:rPr>
          <w:strike/>
          <w:szCs w:val="24"/>
        </w:rPr>
        <w:t>е</w:t>
      </w:r>
      <w:r>
        <w:rPr>
          <w:szCs w:val="24"/>
        </w:rPr>
        <w:t xml:space="preserve">тся число сельских населенных пунктов, обслуживаемых почтовой связью (отделениями почтовой связи </w:t>
      </w:r>
      <w:r>
        <w:rPr>
          <w:szCs w:val="24"/>
        </w:rPr>
        <w:br/>
        <w:t>или их структурными подразделениями, находящимися на территории населенного пункта, передвижными отделениями связи, внештатными работниками почтовой связи, почтальонами).</w:t>
      </w:r>
    </w:p>
    <w:p w:rsidR="008742C7" w:rsidRDefault="008742C7" w:rsidP="008742C7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В графе 4 указывается число сельских населенных пунктов, имеющих телефонную связь на базе проводных технологий (фиксированная телефонная связь – телефон, таксофон).</w:t>
      </w:r>
    </w:p>
    <w:p w:rsidR="008742C7" w:rsidRDefault="008742C7" w:rsidP="008742C7">
      <w:pPr>
        <w:widowControl w:val="0"/>
        <w:spacing w:before="20"/>
        <w:jc w:val="center"/>
        <w:rPr>
          <w:b/>
          <w:szCs w:val="24"/>
        </w:rPr>
      </w:pPr>
      <w:r>
        <w:rPr>
          <w:b/>
          <w:szCs w:val="24"/>
        </w:rPr>
        <w:br w:type="page" w:clear="all"/>
      </w:r>
      <w:r>
        <w:rPr>
          <w:b/>
          <w:szCs w:val="24"/>
        </w:rPr>
        <w:lastRenderedPageBreak/>
        <w:t xml:space="preserve">9. Контроль граф формы федерального статистического наблюдения </w:t>
      </w:r>
      <w:r>
        <w:rPr>
          <w:b/>
          <w:szCs w:val="24"/>
        </w:rPr>
        <w:br w:type="textWrapping" w:clear="all"/>
        <w:t>№ 1-МО «Сведения об объектах инфраструктуры муниципального образования»</w:t>
      </w:r>
    </w:p>
    <w:p w:rsidR="008742C7" w:rsidRDefault="008742C7" w:rsidP="008742C7">
      <w:pPr>
        <w:widowControl w:val="0"/>
        <w:spacing w:before="20" w:after="20"/>
        <w:jc w:val="center"/>
        <w:rPr>
          <w:b/>
          <w:szCs w:val="24"/>
        </w:rPr>
      </w:pPr>
    </w:p>
    <w:p w:rsidR="008742C7" w:rsidRDefault="008742C7" w:rsidP="008742C7">
      <w:pPr>
        <w:widowControl w:val="0"/>
        <w:ind w:firstLine="851"/>
        <w:rPr>
          <w:szCs w:val="24"/>
        </w:rPr>
      </w:pPr>
      <w:r>
        <w:rPr>
          <w:szCs w:val="24"/>
        </w:rPr>
        <w:t>Раздел 2 Объекты бытового обслуживания</w:t>
      </w:r>
    </w:p>
    <w:p w:rsidR="008742C7" w:rsidRDefault="008742C7" w:rsidP="008742C7">
      <w:pPr>
        <w:widowControl w:val="0"/>
        <w:ind w:firstLine="851"/>
        <w:rPr>
          <w:szCs w:val="24"/>
        </w:rPr>
      </w:pPr>
      <w:r>
        <w:rPr>
          <w:szCs w:val="24"/>
        </w:rPr>
        <w:t>Графа 3 = сумме граф 4 – 15</w:t>
      </w:r>
    </w:p>
    <w:p w:rsidR="008742C7" w:rsidRDefault="008742C7" w:rsidP="008742C7">
      <w:pPr>
        <w:widowControl w:val="0"/>
        <w:ind w:firstLine="851"/>
        <w:rPr>
          <w:szCs w:val="24"/>
        </w:rPr>
      </w:pPr>
      <w:r>
        <w:rPr>
          <w:szCs w:val="24"/>
        </w:rPr>
        <w:t xml:space="preserve">Графа 16 = сумме граф 17 – 25 </w:t>
      </w:r>
    </w:p>
    <w:p w:rsidR="008742C7" w:rsidRDefault="008742C7" w:rsidP="008742C7">
      <w:pPr>
        <w:widowControl w:val="0"/>
        <w:spacing w:before="20"/>
        <w:ind w:firstLine="851"/>
        <w:rPr>
          <w:szCs w:val="24"/>
        </w:rPr>
      </w:pPr>
      <w:r>
        <w:rPr>
          <w:szCs w:val="24"/>
        </w:rPr>
        <w:t>Раздел 3 Спортивные сооружения</w:t>
      </w:r>
    </w:p>
    <w:p w:rsidR="008742C7" w:rsidRDefault="008742C7" w:rsidP="008742C7">
      <w:pPr>
        <w:widowControl w:val="0"/>
        <w:spacing w:before="20"/>
        <w:ind w:firstLine="851"/>
        <w:rPr>
          <w:szCs w:val="24"/>
        </w:rPr>
      </w:pPr>
      <w:r>
        <w:rPr>
          <w:szCs w:val="24"/>
        </w:rPr>
        <w:t xml:space="preserve">Графа 3 ≥ графе 4 </w:t>
      </w:r>
    </w:p>
    <w:p w:rsidR="008742C7" w:rsidRDefault="008742C7" w:rsidP="008742C7">
      <w:pPr>
        <w:widowControl w:val="0"/>
        <w:ind w:firstLine="851"/>
        <w:rPr>
          <w:szCs w:val="24"/>
        </w:rPr>
      </w:pPr>
      <w:r>
        <w:rPr>
          <w:szCs w:val="24"/>
        </w:rPr>
        <w:t>Графа 3 ≥ сумме граф 5, 7, 9, 11</w:t>
      </w:r>
    </w:p>
    <w:p w:rsidR="008742C7" w:rsidRDefault="008742C7" w:rsidP="008742C7">
      <w:pPr>
        <w:widowControl w:val="0"/>
        <w:ind w:firstLine="851"/>
        <w:rPr>
          <w:szCs w:val="24"/>
        </w:rPr>
      </w:pPr>
      <w:r>
        <w:rPr>
          <w:szCs w:val="24"/>
        </w:rPr>
        <w:t>Графа 4 ≥ сумме граф 6, 8, 10, 12</w:t>
      </w:r>
    </w:p>
    <w:p w:rsidR="008742C7" w:rsidRDefault="008742C7" w:rsidP="008742C7">
      <w:pPr>
        <w:widowControl w:val="0"/>
        <w:ind w:firstLine="851"/>
        <w:rPr>
          <w:szCs w:val="24"/>
        </w:rPr>
      </w:pPr>
      <w:r>
        <w:rPr>
          <w:szCs w:val="24"/>
        </w:rPr>
        <w:t>Графа 5 ≥ графе 6</w:t>
      </w:r>
    </w:p>
    <w:p w:rsidR="008742C7" w:rsidRDefault="008742C7" w:rsidP="008742C7">
      <w:pPr>
        <w:widowControl w:val="0"/>
        <w:ind w:firstLine="851"/>
        <w:rPr>
          <w:szCs w:val="24"/>
        </w:rPr>
      </w:pPr>
      <w:r>
        <w:rPr>
          <w:szCs w:val="24"/>
        </w:rPr>
        <w:t>Графа 7 ≥ графе 8</w:t>
      </w:r>
    </w:p>
    <w:p w:rsidR="008742C7" w:rsidRDefault="008742C7" w:rsidP="008742C7">
      <w:pPr>
        <w:widowControl w:val="0"/>
        <w:ind w:firstLine="851"/>
        <w:rPr>
          <w:szCs w:val="24"/>
        </w:rPr>
      </w:pPr>
      <w:r>
        <w:rPr>
          <w:szCs w:val="24"/>
        </w:rPr>
        <w:t>Графа 9 ≥ графе 10</w:t>
      </w:r>
    </w:p>
    <w:p w:rsidR="008742C7" w:rsidRDefault="008742C7" w:rsidP="008742C7">
      <w:pPr>
        <w:widowControl w:val="0"/>
        <w:ind w:firstLine="851"/>
        <w:rPr>
          <w:szCs w:val="24"/>
        </w:rPr>
      </w:pPr>
      <w:r>
        <w:rPr>
          <w:szCs w:val="24"/>
        </w:rPr>
        <w:t>Графа 11 ≥ графе 12</w:t>
      </w:r>
    </w:p>
    <w:p w:rsidR="008742C7" w:rsidRDefault="008742C7" w:rsidP="008742C7">
      <w:pPr>
        <w:widowControl w:val="0"/>
        <w:ind w:firstLine="851"/>
        <w:rPr>
          <w:szCs w:val="24"/>
        </w:rPr>
      </w:pPr>
      <w:r>
        <w:rPr>
          <w:szCs w:val="24"/>
        </w:rPr>
        <w:t>Графа 13 ≥ графе 14</w:t>
      </w:r>
    </w:p>
    <w:p w:rsidR="008742C7" w:rsidRDefault="008742C7" w:rsidP="008742C7">
      <w:pPr>
        <w:widowControl w:val="0"/>
        <w:spacing w:before="20"/>
        <w:ind w:firstLine="851"/>
        <w:rPr>
          <w:szCs w:val="24"/>
        </w:rPr>
      </w:pPr>
      <w:r>
        <w:rPr>
          <w:szCs w:val="24"/>
        </w:rPr>
        <w:t>Раздел 4 Коммунальная сфера</w:t>
      </w:r>
    </w:p>
    <w:p w:rsidR="008742C7" w:rsidRDefault="008742C7" w:rsidP="008742C7">
      <w:pPr>
        <w:widowControl w:val="0"/>
        <w:spacing w:before="20"/>
        <w:ind w:firstLine="851"/>
        <w:rPr>
          <w:szCs w:val="24"/>
        </w:rPr>
      </w:pPr>
      <w:r>
        <w:rPr>
          <w:szCs w:val="24"/>
        </w:rPr>
        <w:t>Графа 3 ˃ 0 (</w:t>
      </w:r>
      <w:proofErr w:type="gramStart"/>
      <w:r>
        <w:rPr>
          <w:szCs w:val="24"/>
        </w:rPr>
        <w:t>Предупредительный</w:t>
      </w:r>
      <w:proofErr w:type="gramEnd"/>
      <w:r>
        <w:rPr>
          <w:szCs w:val="24"/>
        </w:rPr>
        <w:t>)</w:t>
      </w:r>
    </w:p>
    <w:p w:rsidR="008742C7" w:rsidRDefault="008742C7" w:rsidP="008742C7">
      <w:pPr>
        <w:widowControl w:val="0"/>
        <w:spacing w:before="20"/>
        <w:ind w:firstLine="851"/>
        <w:rPr>
          <w:szCs w:val="24"/>
        </w:rPr>
      </w:pPr>
      <w:r>
        <w:rPr>
          <w:szCs w:val="24"/>
        </w:rPr>
        <w:t>Графа 3 ≥ графе 4</w:t>
      </w:r>
    </w:p>
    <w:p w:rsidR="008742C7" w:rsidRDefault="008742C7" w:rsidP="008742C7">
      <w:pPr>
        <w:widowControl w:val="0"/>
        <w:spacing w:before="20"/>
        <w:ind w:firstLine="851"/>
        <w:rPr>
          <w:szCs w:val="24"/>
        </w:rPr>
      </w:pPr>
      <w:r>
        <w:rPr>
          <w:szCs w:val="24"/>
        </w:rPr>
        <w:t>Если графа 5 ˃ 0, то графа 7 ˃ 0</w:t>
      </w:r>
    </w:p>
    <w:p w:rsidR="008742C7" w:rsidRDefault="008742C7" w:rsidP="008742C7">
      <w:pPr>
        <w:widowControl w:val="0"/>
        <w:spacing w:before="20"/>
        <w:ind w:firstLine="851"/>
        <w:rPr>
          <w:szCs w:val="24"/>
        </w:rPr>
      </w:pPr>
      <w:r>
        <w:rPr>
          <w:szCs w:val="24"/>
        </w:rPr>
        <w:t>Если графа 6 ˃ 0, то графа 8 ˃ 0</w:t>
      </w:r>
    </w:p>
    <w:p w:rsidR="008742C7" w:rsidRDefault="008742C7" w:rsidP="008742C7">
      <w:pPr>
        <w:widowControl w:val="0"/>
        <w:spacing w:before="20"/>
        <w:ind w:firstLine="851"/>
        <w:rPr>
          <w:szCs w:val="24"/>
        </w:rPr>
      </w:pPr>
      <w:r>
        <w:rPr>
          <w:szCs w:val="24"/>
        </w:rPr>
        <w:t>Графа 5 ≥ графе 6</w:t>
      </w:r>
    </w:p>
    <w:p w:rsidR="008742C7" w:rsidRDefault="008742C7" w:rsidP="008742C7">
      <w:pPr>
        <w:widowControl w:val="0"/>
        <w:spacing w:before="20"/>
        <w:ind w:firstLine="851"/>
        <w:rPr>
          <w:szCs w:val="24"/>
        </w:rPr>
      </w:pPr>
      <w:r>
        <w:rPr>
          <w:szCs w:val="24"/>
        </w:rPr>
        <w:t>Если графа 6 &gt; 0, то графа 5 &gt; 0</w:t>
      </w:r>
    </w:p>
    <w:p w:rsidR="008742C7" w:rsidRDefault="008742C7" w:rsidP="008742C7">
      <w:pPr>
        <w:widowControl w:val="0"/>
        <w:spacing w:before="20"/>
        <w:ind w:firstLine="851"/>
        <w:rPr>
          <w:szCs w:val="24"/>
        </w:rPr>
      </w:pPr>
      <w:r>
        <w:rPr>
          <w:szCs w:val="24"/>
        </w:rPr>
        <w:t>Графа 7 ≥ графе 8</w:t>
      </w:r>
    </w:p>
    <w:p w:rsidR="008742C7" w:rsidRDefault="008742C7" w:rsidP="008742C7">
      <w:pPr>
        <w:widowControl w:val="0"/>
        <w:spacing w:before="20"/>
        <w:ind w:firstLine="851"/>
        <w:rPr>
          <w:szCs w:val="24"/>
        </w:rPr>
      </w:pPr>
      <w:r>
        <w:rPr>
          <w:szCs w:val="24"/>
        </w:rPr>
        <w:t>Если графа 8 &gt; 0, то графа 7 &gt; 0</w:t>
      </w:r>
    </w:p>
    <w:p w:rsidR="008742C7" w:rsidRDefault="008742C7" w:rsidP="008742C7">
      <w:pPr>
        <w:widowControl w:val="0"/>
        <w:spacing w:before="20"/>
        <w:ind w:firstLine="851"/>
        <w:rPr>
          <w:szCs w:val="24"/>
        </w:rPr>
      </w:pPr>
      <w:r>
        <w:rPr>
          <w:szCs w:val="24"/>
        </w:rPr>
        <w:t>Графа 11 ≥ графе 12</w:t>
      </w:r>
    </w:p>
    <w:p w:rsidR="008742C7" w:rsidRDefault="008742C7" w:rsidP="008742C7">
      <w:pPr>
        <w:widowControl w:val="0"/>
        <w:ind w:firstLine="851"/>
        <w:rPr>
          <w:szCs w:val="24"/>
        </w:rPr>
      </w:pPr>
      <w:r>
        <w:rPr>
          <w:szCs w:val="24"/>
        </w:rPr>
        <w:t>Если графа 13 ˃ 0, то графа 11 &gt; 0 (</w:t>
      </w:r>
      <w:proofErr w:type="gramStart"/>
      <w:r>
        <w:rPr>
          <w:szCs w:val="24"/>
        </w:rPr>
        <w:t>Предупредительный</w:t>
      </w:r>
      <w:proofErr w:type="gramEnd"/>
      <w:r>
        <w:rPr>
          <w:szCs w:val="24"/>
        </w:rPr>
        <w:t>)</w:t>
      </w:r>
    </w:p>
    <w:p w:rsidR="008742C7" w:rsidRDefault="008742C7" w:rsidP="008742C7">
      <w:pPr>
        <w:widowControl w:val="0"/>
        <w:ind w:firstLine="851"/>
        <w:rPr>
          <w:szCs w:val="24"/>
        </w:rPr>
      </w:pPr>
      <w:r>
        <w:rPr>
          <w:szCs w:val="24"/>
        </w:rPr>
        <w:t>Графа 13 ≥ графе 14</w:t>
      </w:r>
    </w:p>
    <w:p w:rsidR="008742C7" w:rsidRDefault="008742C7" w:rsidP="008742C7">
      <w:pPr>
        <w:widowControl w:val="0"/>
        <w:ind w:firstLine="851"/>
        <w:rPr>
          <w:szCs w:val="24"/>
        </w:rPr>
      </w:pPr>
      <w:r>
        <w:rPr>
          <w:szCs w:val="24"/>
        </w:rPr>
        <w:t>Графа 13 ≥ графе 15</w:t>
      </w:r>
    </w:p>
    <w:p w:rsidR="008742C7" w:rsidRDefault="008742C7" w:rsidP="008742C7">
      <w:pPr>
        <w:widowControl w:val="0"/>
        <w:ind w:firstLine="851"/>
        <w:rPr>
          <w:szCs w:val="24"/>
        </w:rPr>
      </w:pPr>
      <w:r>
        <w:rPr>
          <w:szCs w:val="24"/>
        </w:rPr>
        <w:t>Графа 16 ≥ графе 17</w:t>
      </w:r>
    </w:p>
    <w:p w:rsidR="008742C7" w:rsidRDefault="008742C7" w:rsidP="008742C7">
      <w:pPr>
        <w:widowControl w:val="0"/>
        <w:ind w:firstLine="851"/>
        <w:rPr>
          <w:szCs w:val="24"/>
        </w:rPr>
      </w:pPr>
      <w:r>
        <w:rPr>
          <w:szCs w:val="24"/>
        </w:rPr>
        <w:t>Графа 16 ≥ графе 18</w:t>
      </w:r>
    </w:p>
    <w:p w:rsidR="008742C7" w:rsidRDefault="008742C7" w:rsidP="008742C7">
      <w:pPr>
        <w:widowControl w:val="0"/>
        <w:ind w:firstLine="851"/>
        <w:rPr>
          <w:szCs w:val="24"/>
        </w:rPr>
      </w:pPr>
      <w:r>
        <w:rPr>
          <w:szCs w:val="24"/>
        </w:rPr>
        <w:t>Графа 20 ≥ графе 21</w:t>
      </w:r>
    </w:p>
    <w:p w:rsidR="008742C7" w:rsidRDefault="008742C7" w:rsidP="008742C7">
      <w:pPr>
        <w:widowControl w:val="0"/>
        <w:ind w:firstLine="851"/>
        <w:rPr>
          <w:szCs w:val="24"/>
        </w:rPr>
      </w:pPr>
      <w:r>
        <w:rPr>
          <w:szCs w:val="24"/>
        </w:rPr>
        <w:t>Графа 20 ≥ графе 22</w:t>
      </w:r>
    </w:p>
    <w:p w:rsidR="00A73315" w:rsidRDefault="00A73315"/>
    <w:sectPr w:rsidR="00A73315" w:rsidSect="008742C7">
      <w:headerReference w:type="even" r:id="rId15"/>
      <w:headerReference w:type="default" r:id="rId16"/>
      <w:pgSz w:w="16840" w:h="11907" w:orient="landscape"/>
      <w:pgMar w:top="1134" w:right="851" w:bottom="567" w:left="85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7A" w:rsidRDefault="007C6F7A">
      <w:r>
        <w:separator/>
      </w:r>
    </w:p>
  </w:endnote>
  <w:endnote w:type="continuationSeparator" w:id="0">
    <w:p w:rsidR="007C6F7A" w:rsidRDefault="007C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7A" w:rsidRDefault="007C6F7A">
      <w:r>
        <w:separator/>
      </w:r>
    </w:p>
  </w:footnote>
  <w:footnote w:type="continuationSeparator" w:id="0">
    <w:p w:rsidR="007C6F7A" w:rsidRDefault="007C6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84" w:rsidRDefault="008742C7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5D84" w:rsidRDefault="007C6F7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84" w:rsidRDefault="008742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06778">
      <w:rPr>
        <w:noProof/>
      </w:rPr>
      <w:t>2</w:t>
    </w:r>
    <w:r>
      <w:fldChar w:fldCharType="end"/>
    </w:r>
  </w:p>
  <w:p w:rsidR="00AE5D84" w:rsidRDefault="007C6F7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C7"/>
    <w:rsid w:val="00206778"/>
    <w:rsid w:val="007C6F7A"/>
    <w:rsid w:val="008742C7"/>
    <w:rsid w:val="00A73315"/>
    <w:rsid w:val="00DC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42C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742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8742C7"/>
    <w:rPr>
      <w:color w:val="0000FF"/>
      <w:u w:val="single"/>
    </w:rPr>
  </w:style>
  <w:style w:type="character" w:styleId="a6">
    <w:name w:val="page number"/>
    <w:basedOn w:val="a0"/>
    <w:semiHidden/>
    <w:rsid w:val="00874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42C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742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8742C7"/>
    <w:rPr>
      <w:color w:val="0000FF"/>
      <w:u w:val="single"/>
    </w:rPr>
  </w:style>
  <w:style w:type="character" w:styleId="a6">
    <w:name w:val="page number"/>
    <w:basedOn w:val="a0"/>
    <w:semiHidden/>
    <w:rsid w:val="0087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" TargetMode="External"/><Relationship Id="rId13" Type="http://schemas.openxmlformats.org/officeDocument/2006/relationships/hyperlink" Target="garantF1://71451074.1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sbor.gks.ru/online/info,%20" TargetMode="External"/><Relationship Id="rId12" Type="http://schemas.openxmlformats.org/officeDocument/2006/relationships/hyperlink" Target="garantF1://71451074.1006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1451074.100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garantF1://71403734.11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403734.1104" TargetMode="External"/><Relationship Id="rId14" Type="http://schemas.openxmlformats.org/officeDocument/2006/relationships/hyperlink" Target="garantF1://71403734.12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4143</Words>
  <Characters>23618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Валерьевна</dc:creator>
  <cp:lastModifiedBy>Соколова Ирина Валерьевна</cp:lastModifiedBy>
  <cp:revision>3</cp:revision>
  <dcterms:created xsi:type="dcterms:W3CDTF">2024-02-09T13:15:00Z</dcterms:created>
  <dcterms:modified xsi:type="dcterms:W3CDTF">2024-02-12T08:48:00Z</dcterms:modified>
</cp:coreProperties>
</file>